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pPr>
      <w:r>
        <w:rPr>
          <w:b/>
          <w:i w:val="0"/>
          <w:color w:val="0E1B3D"/>
          <w:sz w:val="46"/>
        </w:rPr>
        <w:t>Ko Sun David</w:t>
      </w:r>
    </w:p>
    <w:p>
      <w:pPr>
        <w:spacing w:before="0" w:after="40" w:line="240" w:lineRule="auto"/>
      </w:pPr>
      <w:r>
        <w:rPr>
          <w:b/>
          <w:i w:val="0"/>
          <w:color w:val="1D4ED8"/>
          <w:sz w:val="25"/>
        </w:rPr>
        <w:t>Solution Architect Team Lead (Enterprise)  ·  HUAWEI CLOUD</w:t>
      </w:r>
    </w:p>
    <w:p>
      <w:pPr>
        <w:spacing w:before="0" w:after="200" w:line="259" w:lineRule="auto"/>
        <w:pBdr>
          <w:bottom w:val="single" w:sz="10" w:space="5" w:color="1D4ED8"/>
        </w:pBdr>
      </w:pPr>
      <w:r>
        <w:rPr>
          <w:b w:val="0"/>
          <w:color w:val="5A6B8C"/>
          <w:sz w:val="20"/>
        </w:rPr>
        <w:t>Hong Kong</w:t>
      </w:r>
      <w:r>
        <w:rPr>
          <w:b w:val="0"/>
          <w:color w:val="5A6B8C"/>
          <w:sz w:val="20"/>
        </w:rPr>
        <w:t xml:space="preserve">   |   </w:t>
      </w:r>
      <w:r>
        <w:rPr>
          <w:b w:val="0"/>
          <w:color w:val="5A6B8C"/>
          <w:sz w:val="20"/>
        </w:rPr>
        <w:t>+852 6694 6402</w:t>
      </w:r>
      <w:r>
        <w:rPr>
          <w:b w:val="0"/>
          <w:color w:val="5A6B8C"/>
          <w:sz w:val="20"/>
        </w:rPr>
        <w:t xml:space="preserve">   |   </w:t>
      </w:r>
      <w:r>
        <w:rPr>
          <w:b w:val="0"/>
          <w:color w:val="5A6B8C"/>
          <w:sz w:val="20"/>
        </w:rPr>
        <w:t>kosun834@gmail.com</w:t>
      </w:r>
    </w:p>
    <w:p>
      <w:pPr>
        <w:spacing w:before="180" w:after="100"/>
        <w:pBdr>
          <w:bottom w:val="single" w:sz="6" w:space="3" w:color="9DB7E8"/>
        </w:pBdr>
      </w:pPr>
      <w:r>
        <w:rPr>
          <w:b/>
          <w:color w:val="1D4ED8"/>
          <w:sz w:val="21"/>
        </w:rPr>
        <w:t>PROFESSIONAL PROFILE</w:t>
      </w:r>
    </w:p>
    <w:p>
      <w:pPr>
        <w:spacing w:before="0" w:after="40" w:line="259" w:lineRule="auto"/>
      </w:pPr>
      <w:r>
        <w:rPr>
          <w:b w:val="0"/>
          <w:i w:val="0"/>
          <w:color w:val="0E1B3D"/>
          <w:sz w:val="21"/>
        </w:rPr>
        <w:t>Cloud solution architect with a track record of designing, implementing and assuring enterprise cloud solutions. Currently leads the Solution Architect team (Enterprise) at HUAWEI CLOUD, owning technical advisory, solution architecture and technical delivery assurance for enterprise engagements. Designs comprehensive architectures to well-architected design principles, manages and provisions solution infrastructure, and ensures security and policy compliance. Defines SOW and BOM for entire projects, prepares pricing estimates, and manages implementation progress on the technical side, while advising engineering teams so that solutions and operations stay reliable and on track.</w:t>
      </w:r>
    </w:p>
    <w:p>
      <w:pPr>
        <w:spacing w:before="180" w:after="100"/>
        <w:pBdr>
          <w:bottom w:val="single" w:sz="6" w:space="3" w:color="9DB7E8"/>
        </w:pBdr>
      </w:pPr>
      <w:r>
        <w:rPr>
          <w:b/>
          <w:color w:val="1D4ED8"/>
          <w:sz w:val="21"/>
        </w:rPr>
        <w:t>CORE COMPETENCIES</w:t>
      </w:r>
    </w:p>
    <w:p>
      <w:pPr>
        <w:spacing w:before="0" w:after="40" w:line="252" w:lineRule="auto"/>
        <w:ind w:left="312" w:hanging="198"/>
      </w:pPr>
      <w:r>
        <w:rPr>
          <w:color w:val="1D4ED8"/>
          <w:sz w:val="20"/>
        </w:rPr>
        <w:t xml:space="preserve">•  </w:t>
      </w:r>
      <w:r>
        <w:rPr>
          <w:b/>
          <w:color w:val="0E1B3D"/>
          <w:sz w:val="20"/>
        </w:rPr>
        <w:t xml:space="preserve">Cloud architecture &amp; design: </w:t>
      </w:r>
      <w:r>
        <w:rPr>
          <w:color w:val="0E1B3D"/>
          <w:sz w:val="20"/>
        </w:rPr>
        <w:t>landing zones, hybrid and multi-cloud connectivity, well-architected solution design, cost and sizing estimation.</w:t>
      </w:r>
    </w:p>
    <w:p>
      <w:pPr>
        <w:spacing w:before="0" w:after="40" w:line="252" w:lineRule="auto"/>
        <w:ind w:left="312" w:hanging="198"/>
      </w:pPr>
      <w:r>
        <w:rPr>
          <w:color w:val="1D4ED8"/>
          <w:sz w:val="20"/>
        </w:rPr>
        <w:t xml:space="preserve">•  </w:t>
      </w:r>
      <w:r>
        <w:rPr>
          <w:b/>
          <w:color w:val="0E1B3D"/>
          <w:sz w:val="20"/>
        </w:rPr>
        <w:t xml:space="preserve">Migration: </w:t>
      </w:r>
      <w:r>
        <w:rPr>
          <w:color w:val="0E1B3D"/>
          <w:sz w:val="20"/>
        </w:rPr>
        <w:t>on-premises data-centre-to-cloud and cloud-to-cloud migrations; cloud-native migration tooling.</w:t>
      </w:r>
    </w:p>
    <w:p>
      <w:pPr>
        <w:spacing w:before="0" w:after="40" w:line="252" w:lineRule="auto"/>
        <w:ind w:left="312" w:hanging="198"/>
      </w:pPr>
      <w:r>
        <w:rPr>
          <w:color w:val="1D4ED8"/>
          <w:sz w:val="20"/>
        </w:rPr>
        <w:t xml:space="preserve">•  </w:t>
      </w:r>
      <w:r>
        <w:rPr>
          <w:b/>
          <w:color w:val="0E1B3D"/>
          <w:sz w:val="20"/>
        </w:rPr>
        <w:t xml:space="preserve">Platform &amp; automation: </w:t>
      </w:r>
      <w:r>
        <w:rPr>
          <w:color w:val="0E1B3D"/>
          <w:sz w:val="20"/>
        </w:rPr>
        <w:t>Kubernetes (managed and hybrid clusters), Docker, infrastructure-as-code (Terraform), PowerShell and CLI scripting, DevSecOps.</w:t>
      </w:r>
    </w:p>
    <w:p>
      <w:pPr>
        <w:spacing w:before="0" w:after="40" w:line="252" w:lineRule="auto"/>
        <w:ind w:left="312" w:hanging="198"/>
      </w:pPr>
      <w:r>
        <w:rPr>
          <w:color w:val="1D4ED8"/>
          <w:sz w:val="20"/>
        </w:rPr>
        <w:t xml:space="preserve">•  </w:t>
      </w:r>
      <w:r>
        <w:rPr>
          <w:b/>
          <w:color w:val="0E1B3D"/>
          <w:sz w:val="20"/>
        </w:rPr>
        <w:t xml:space="preserve">Security &amp; compliance: </w:t>
      </w:r>
      <w:r>
        <w:rPr>
          <w:color w:val="0E1B3D"/>
          <w:sz w:val="20"/>
        </w:rPr>
        <w:t>security assessment, hybrid security monitoring (SIEM), standards and policy compliance.</w:t>
      </w:r>
    </w:p>
    <w:p>
      <w:pPr>
        <w:spacing w:before="0" w:after="40" w:line="252" w:lineRule="auto"/>
        <w:ind w:left="312" w:hanging="198"/>
      </w:pPr>
      <w:r>
        <w:rPr>
          <w:color w:val="1D4ED8"/>
          <w:sz w:val="20"/>
        </w:rPr>
        <w:t xml:space="preserve">•  </w:t>
      </w:r>
      <w:r>
        <w:rPr>
          <w:b/>
          <w:color w:val="0E1B3D"/>
          <w:sz w:val="20"/>
        </w:rPr>
        <w:t xml:space="preserve">Resilience: </w:t>
      </w:r>
      <w:r>
        <w:rPr>
          <w:color w:val="0E1B3D"/>
          <w:sz w:val="20"/>
        </w:rPr>
        <w:t>backup, monitoring, disaster recovery and business-continuity design.</w:t>
      </w:r>
    </w:p>
    <w:p>
      <w:pPr>
        <w:spacing w:before="0" w:after="40" w:line="252" w:lineRule="auto"/>
        <w:ind w:left="312" w:hanging="198"/>
      </w:pPr>
      <w:r>
        <w:rPr>
          <w:color w:val="1D4ED8"/>
          <w:sz w:val="20"/>
        </w:rPr>
        <w:t xml:space="preserve">•  </w:t>
      </w:r>
      <w:r>
        <w:rPr>
          <w:b/>
          <w:color w:val="0E1B3D"/>
          <w:sz w:val="20"/>
        </w:rPr>
        <w:t xml:space="preserve">Infrastructure: </w:t>
      </w:r>
      <w:r>
        <w:rPr>
          <w:color w:val="0E1B3D"/>
          <w:sz w:val="20"/>
        </w:rPr>
        <w:t>Windows/Linux servers, Active Directory/DNS/DHCP, virtualization (ESXi/vCenter, Hyper-V), failover clustering, storage and data-centre hardware.</w:t>
      </w:r>
    </w:p>
    <w:p>
      <w:pPr>
        <w:spacing w:before="0" w:after="40" w:line="252" w:lineRule="auto"/>
        <w:ind w:left="312" w:hanging="198"/>
      </w:pPr>
      <w:r>
        <w:rPr>
          <w:color w:val="1D4ED8"/>
          <w:sz w:val="20"/>
        </w:rPr>
        <w:t xml:space="preserve">•  </w:t>
      </w:r>
      <w:r>
        <w:rPr>
          <w:b/>
          <w:color w:val="0E1B3D"/>
          <w:sz w:val="20"/>
        </w:rPr>
        <w:t xml:space="preserve">Data &amp; networking: </w:t>
      </w:r>
      <w:r>
        <w:rPr>
          <w:color w:val="0E1B3D"/>
          <w:sz w:val="20"/>
        </w:rPr>
        <w:t>SQL and MongoDB, data migration, routing and switching, IPv4/IPv6 addressing, hybrid networking.</w:t>
      </w:r>
    </w:p>
    <w:p>
      <w:pPr>
        <w:spacing w:before="0" w:after="40" w:line="252" w:lineRule="auto"/>
        <w:ind w:left="312" w:hanging="198"/>
      </w:pPr>
      <w:r>
        <w:rPr>
          <w:color w:val="1D4ED8"/>
          <w:sz w:val="20"/>
        </w:rPr>
        <w:t xml:space="preserve">•  </w:t>
      </w:r>
      <w:r>
        <w:rPr>
          <w:b/>
          <w:color w:val="0E1B3D"/>
          <w:sz w:val="20"/>
        </w:rPr>
        <w:t xml:space="preserve">Delivery &amp; advisory: </w:t>
      </w:r>
      <w:r>
        <w:rPr>
          <w:color w:val="0E1B3D"/>
          <w:sz w:val="20"/>
        </w:rPr>
        <w:t>SOW/BOM definition, technical documentation, diagrams and presentations, customer technical advisory.</w:t>
      </w:r>
    </w:p>
    <w:p>
      <w:pPr>
        <w:spacing w:before="180" w:after="100"/>
        <w:pBdr>
          <w:bottom w:val="single" w:sz="6" w:space="3" w:color="9DB7E8"/>
        </w:pBdr>
      </w:pPr>
      <w:r>
        <w:rPr>
          <w:b/>
          <w:color w:val="1D4ED8"/>
          <w:sz w:val="21"/>
        </w:rPr>
        <w:t>PROFESSIONAL EXPERIENCE</w:t>
      </w:r>
    </w:p>
    <w:p>
      <w:pPr>
        <w:tabs>
          <w:tab w:pos="10092" w:val="right"/>
        </w:tabs>
        <w:spacing w:before="120" w:after="20" w:line="245" w:lineRule="auto"/>
      </w:pPr>
      <w:r>
        <w:rPr>
          <w:b/>
          <w:color w:val="0E1B3D"/>
          <w:sz w:val="22"/>
        </w:rPr>
        <w:t>HUAWEI CLOUD</w:t>
      </w:r>
      <w:r>
        <w:rPr>
          <w:color w:val="5A6B8C"/>
          <w:sz w:val="19"/>
        </w:rPr>
        <w:tab/>
        <w:t>Present</w:t>
      </w:r>
    </w:p>
    <w:p>
      <w:pPr>
        <w:spacing w:before="0" w:after="60" w:line="240" w:lineRule="auto"/>
      </w:pPr>
      <w:r>
        <w:rPr>
          <w:i/>
          <w:color w:val="1D4ED8"/>
          <w:sz w:val="21"/>
        </w:rPr>
        <w:t>Solution Architect Team Lead (Enterprise)</w:t>
      </w:r>
    </w:p>
    <w:p>
      <w:pPr>
        <w:pStyle w:val="ListBullet"/>
        <w:spacing w:before="0" w:after="40" w:line="252" w:lineRule="auto"/>
        <w:ind w:left="312" w:hanging="198"/>
      </w:pPr>
      <w:r>
        <w:rPr>
          <w:color w:val="0E1B3D"/>
          <w:sz w:val="20"/>
        </w:rPr>
        <w:t>Lead the Solution Architect team for enterprise accounts; act as the technical point of contact for customers and own technical solution assurance.</w:t>
      </w:r>
    </w:p>
    <w:p>
      <w:pPr>
        <w:pStyle w:val="ListBullet"/>
        <w:spacing w:before="0" w:after="40" w:line="252" w:lineRule="auto"/>
        <w:ind w:left="312" w:hanging="198"/>
      </w:pPr>
      <w:r>
        <w:rPr>
          <w:color w:val="0E1B3D"/>
          <w:sz w:val="20"/>
        </w:rPr>
        <w:t>Design and plan comprehensive cloud solution architectures in line with well-architected design principles, and manage and provision the underlying solution infrastructure.</w:t>
      </w:r>
    </w:p>
    <w:p>
      <w:pPr>
        <w:pStyle w:val="ListBullet"/>
        <w:spacing w:before="0" w:after="40" w:line="252" w:lineRule="auto"/>
        <w:ind w:left="312" w:hanging="198"/>
      </w:pPr>
      <w:r>
        <w:rPr>
          <w:color w:val="0E1B3D"/>
          <w:sz w:val="20"/>
        </w:rPr>
        <w:t>Ensure standard security and policy compliance across designed solutions, and analyse and optimise technology and business processes.</w:t>
      </w:r>
    </w:p>
    <w:p>
      <w:pPr>
        <w:pStyle w:val="ListBullet"/>
        <w:spacing w:before="0" w:after="40" w:line="252" w:lineRule="auto"/>
        <w:ind w:left="312" w:hanging="198"/>
      </w:pPr>
      <w:r>
        <w:rPr>
          <w:color w:val="0E1B3D"/>
          <w:sz w:val="20"/>
        </w:rPr>
        <w:t>Define SOW and BOM for whole projects, prepare pricing estimates, and manage implementation progress on the technical side.</w:t>
      </w:r>
    </w:p>
    <w:p>
      <w:pPr>
        <w:pStyle w:val="ListBullet"/>
        <w:spacing w:before="0" w:after="40" w:line="252" w:lineRule="auto"/>
        <w:ind w:left="312" w:hanging="198"/>
      </w:pPr>
      <w:r>
        <w:rPr>
          <w:color w:val="0E1B3D"/>
          <w:sz w:val="20"/>
        </w:rPr>
        <w:t>Produce customer documentation, flowcharts, diagrams and presentations for kick-off, design workshops, technical review and managed service; act as consultant to engineering teams.</w:t>
      </w:r>
    </w:p>
    <w:p>
      <w:pPr>
        <w:tabs>
          <w:tab w:pos="10092" w:val="right"/>
        </w:tabs>
        <w:spacing w:before="120" w:after="20" w:line="245" w:lineRule="auto"/>
      </w:pPr>
      <w:r>
        <w:rPr>
          <w:b/>
          <w:color w:val="0E1B3D"/>
          <w:sz w:val="22"/>
        </w:rPr>
        <w:t>Hong Kong Broadband Network (HKBN) Enterprise Solutions</w:t>
      </w:r>
      <w:r>
        <w:rPr>
          <w:color w:val="5A6B8C"/>
          <w:sz w:val="19"/>
        </w:rPr>
        <w:tab/>
        <w:t>Oct 2023 – 2025</w:t>
      </w:r>
    </w:p>
    <w:p>
      <w:pPr>
        <w:spacing w:before="0" w:after="60" w:line="240" w:lineRule="auto"/>
      </w:pPr>
      <w:r>
        <w:rPr>
          <w:i/>
          <w:color w:val="1D4ED8"/>
          <w:sz w:val="21"/>
        </w:rPr>
        <w:t>Senior Cloud Solution Architect</w:t>
      </w:r>
    </w:p>
    <w:p>
      <w:pPr>
        <w:pStyle w:val="ListBullet"/>
        <w:spacing w:before="0" w:after="40" w:line="252" w:lineRule="auto"/>
        <w:ind w:left="312" w:hanging="198"/>
      </w:pPr>
      <w:r>
        <w:rPr>
          <w:color w:val="0E1B3D"/>
          <w:sz w:val="20"/>
        </w:rPr>
        <w:t>Designed and planned cloud solution architectures and defined SOW for whole projects; managed and provisioned solution infrastructure.</w:t>
      </w:r>
    </w:p>
    <w:p>
      <w:pPr>
        <w:pStyle w:val="ListBullet"/>
        <w:spacing w:before="0" w:after="40" w:line="252" w:lineRule="auto"/>
        <w:ind w:left="312" w:hanging="198"/>
      </w:pPr>
      <w:r>
        <w:rPr>
          <w:color w:val="0E1B3D"/>
          <w:sz w:val="20"/>
        </w:rPr>
        <w:t>Designed for security and compliance; analysed and optimised technology and business processes; ensured solution and operations reliability through best practice.</w:t>
      </w:r>
    </w:p>
    <w:p>
      <w:pPr>
        <w:pStyle w:val="ListBullet"/>
        <w:spacing w:before="0" w:after="40" w:line="252" w:lineRule="auto"/>
        <w:ind w:left="312" w:hanging="198"/>
      </w:pPr>
      <w:r>
        <w:rPr>
          <w:color w:val="0E1B3D"/>
          <w:sz w:val="20"/>
        </w:rPr>
        <w:t>Delivered site specifications, system inventory and pricing documents, flowcharts and presentations for customers and colleagues; acted as consultant to the engineering team.</w:t>
      </w:r>
    </w:p>
    <w:p>
      <w:pPr>
        <w:pStyle w:val="ListBullet"/>
        <w:spacing w:before="0" w:after="40" w:line="252" w:lineRule="auto"/>
        <w:ind w:left="312" w:hanging="198"/>
      </w:pPr>
      <w:r>
        <w:rPr>
          <w:color w:val="0E1B3D"/>
          <w:sz w:val="20"/>
        </w:rPr>
        <w:t>Engagement types: DevSecOps, landing zones, on-premises data-centre-to-cloud migration, cloud-to-cloud (Alibaba to AWS) migration, Windows Virtual Desktop, hybrid Kubernetes DR, hybrid cloud IaaS &amp; SaaS, and hybrid cloud security management.</w:t>
      </w:r>
    </w:p>
    <w:p>
      <w:pPr>
        <w:tabs>
          <w:tab w:pos="10092" w:val="right"/>
        </w:tabs>
        <w:spacing w:before="120" w:after="20" w:line="245" w:lineRule="auto"/>
      </w:pPr>
      <w:r>
        <w:rPr>
          <w:b/>
          <w:color w:val="0E1B3D"/>
          <w:sz w:val="22"/>
        </w:rPr>
        <w:t>SOS Group (Hong Kong) Limited</w:t>
      </w:r>
      <w:r>
        <w:rPr>
          <w:color w:val="5A6B8C"/>
          <w:sz w:val="19"/>
        </w:rPr>
        <w:tab/>
        <w:t>Feb 2021 – Sep 2023</w:t>
      </w:r>
    </w:p>
    <w:p>
      <w:pPr>
        <w:spacing w:before="0" w:after="60" w:line="240" w:lineRule="auto"/>
      </w:pPr>
      <w:r>
        <w:rPr>
          <w:i/>
          <w:color w:val="1D4ED8"/>
          <w:sz w:val="21"/>
        </w:rPr>
        <w:t>Senior Cloud &amp; Data Engineer</w:t>
      </w:r>
    </w:p>
    <w:p>
      <w:pPr>
        <w:pStyle w:val="ListBullet"/>
        <w:spacing w:before="0" w:after="40" w:line="252" w:lineRule="auto"/>
        <w:ind w:left="312" w:hanging="198"/>
      </w:pPr>
      <w:r>
        <w:rPr>
          <w:color w:val="0E1B3D"/>
          <w:sz w:val="20"/>
        </w:rPr>
        <w:t>Designed cloud solutions and delivered cloud web-application deployments for customers.</w:t>
      </w:r>
    </w:p>
    <w:p>
      <w:pPr>
        <w:pStyle w:val="ListBullet"/>
        <w:spacing w:before="0" w:after="40" w:line="252" w:lineRule="auto"/>
        <w:ind w:left="312" w:hanging="198"/>
      </w:pPr>
      <w:r>
        <w:rPr>
          <w:color w:val="0E1B3D"/>
          <w:sz w:val="20"/>
        </w:rPr>
        <w:t>Provided technical tier support on managed service, and produced site specifications, system inventory and pricing documents, flowcharts and presentations.</w:t>
      </w:r>
    </w:p>
    <w:p>
      <w:pPr>
        <w:pStyle w:val="ListBullet"/>
        <w:spacing w:before="0" w:after="40" w:line="252" w:lineRule="auto"/>
        <w:ind w:left="312" w:hanging="198"/>
      </w:pPr>
      <w:r>
        <w:rPr>
          <w:color w:val="0E1B3D"/>
          <w:sz w:val="20"/>
        </w:rPr>
        <w:t>Engagement types: web and mobile application development (PowerApps), Windows Virtual Desktop, hybrid cloud IaaS &amp; SaaS, hybrid cloud security management, landing zones, and on-premises data-centre-to-cloud migration.</w:t>
      </w:r>
    </w:p>
    <w:p>
      <w:pPr>
        <w:tabs>
          <w:tab w:pos="10092" w:val="right"/>
        </w:tabs>
        <w:spacing w:before="120" w:after="20" w:line="245" w:lineRule="auto"/>
      </w:pPr>
      <w:r>
        <w:rPr>
          <w:b/>
          <w:color w:val="0E1B3D"/>
          <w:sz w:val="22"/>
        </w:rPr>
        <w:t>Automated Systems (Hong Kong) Limited</w:t>
      </w:r>
      <w:r>
        <w:rPr>
          <w:color w:val="5A6B8C"/>
          <w:sz w:val="19"/>
        </w:rPr>
        <w:tab/>
        <w:t>Aug 2020 – Jan 2021</w:t>
      </w:r>
    </w:p>
    <w:p>
      <w:pPr>
        <w:spacing w:before="0" w:after="60" w:line="240" w:lineRule="auto"/>
      </w:pPr>
      <w:r>
        <w:rPr>
          <w:i/>
          <w:color w:val="1D4ED8"/>
          <w:sz w:val="21"/>
        </w:rPr>
        <w:t>Graduate Trainee – System Engineer</w:t>
      </w:r>
    </w:p>
    <w:p>
      <w:pPr>
        <w:pStyle w:val="ListBullet"/>
        <w:spacing w:before="0" w:after="40" w:line="252" w:lineRule="auto"/>
        <w:ind w:left="312" w:hanging="198"/>
      </w:pPr>
      <w:r>
        <w:rPr>
          <w:color w:val="0E1B3D"/>
          <w:sz w:val="20"/>
        </w:rPr>
        <w:t>Completed rotational systems-engineering training; analysed existing systems and proposed improvements, and compiled reports and presentations for internal teams.</w:t>
      </w:r>
    </w:p>
    <w:p>
      <w:pPr>
        <w:pStyle w:val="ListBullet"/>
        <w:spacing w:before="0" w:after="40" w:line="252" w:lineRule="auto"/>
        <w:ind w:left="312" w:hanging="198"/>
      </w:pPr>
      <w:r>
        <w:rPr>
          <w:color w:val="0E1B3D"/>
          <w:sz w:val="20"/>
        </w:rPr>
        <w:t>Engagement involvement: Windows Virtual Desktop proof of concept, hybrid cloud IaaS &amp; SaaS implementation, and hardware installation and configuration (server, storage, router, switch).</w:t>
      </w:r>
    </w:p>
    <w:p>
      <w:pPr>
        <w:spacing w:before="180" w:after="100"/>
        <w:pBdr>
          <w:bottom w:val="single" w:sz="6" w:space="3" w:color="9DB7E8"/>
        </w:pBdr>
      </w:pPr>
      <w:r>
        <w:rPr>
          <w:b/>
          <w:color w:val="1D4ED8"/>
          <w:sz w:val="21"/>
        </w:rPr>
        <w:t>TECHNICAL SKILLS</w:t>
      </w:r>
    </w:p>
    <w:p>
      <w:pPr>
        <w:spacing w:before="0" w:after="40" w:line="252" w:lineRule="auto"/>
        <w:ind w:left="312" w:hanging="198"/>
      </w:pPr>
      <w:r>
        <w:rPr>
          <w:color w:val="1D4ED8"/>
          <w:sz w:val="20"/>
        </w:rPr>
        <w:t xml:space="preserve">•  </w:t>
      </w:r>
      <w:r>
        <w:rPr>
          <w:b/>
          <w:color w:val="0E1B3D"/>
          <w:sz w:val="20"/>
        </w:rPr>
        <w:t xml:space="preserve">Cloud platforms: </w:t>
      </w:r>
      <w:r>
        <w:rPr>
          <w:color w:val="0E1B3D"/>
          <w:sz w:val="20"/>
        </w:rPr>
        <w:t>HUAWEI CLOUD, Microsoft Azure, AWS and Alibaba Cloud — solution design, deployment and administration, including provisioning by web portal, CLI scripting, Terraform (IaC) and PowerShell.</w:t>
      </w:r>
    </w:p>
    <w:p>
      <w:pPr>
        <w:spacing w:before="0" w:after="40" w:line="252" w:lineRule="auto"/>
        <w:ind w:left="312" w:hanging="198"/>
      </w:pPr>
      <w:r>
        <w:rPr>
          <w:color w:val="1D4ED8"/>
          <w:sz w:val="20"/>
        </w:rPr>
        <w:t xml:space="preserve">•  </w:t>
      </w:r>
      <w:r>
        <w:rPr>
          <w:b/>
          <w:color w:val="0E1B3D"/>
          <w:sz w:val="20"/>
        </w:rPr>
        <w:t xml:space="preserve">Containers &amp; orchestration: </w:t>
      </w:r>
      <w:r>
        <w:rPr>
          <w:color w:val="0E1B3D"/>
          <w:sz w:val="20"/>
        </w:rPr>
        <w:t>Docker image build and deployment, Docker Compose, Kubernetes (kubectl, managed and hybrid clusters), YAML and JSON handling.</w:t>
      </w:r>
    </w:p>
    <w:p>
      <w:pPr>
        <w:spacing w:before="0" w:after="40" w:line="252" w:lineRule="auto"/>
        <w:ind w:left="312" w:hanging="198"/>
      </w:pPr>
      <w:r>
        <w:rPr>
          <w:color w:val="1D4ED8"/>
          <w:sz w:val="20"/>
        </w:rPr>
        <w:t xml:space="preserve">•  </w:t>
      </w:r>
      <w:r>
        <w:rPr>
          <w:b/>
          <w:color w:val="0E1B3D"/>
          <w:sz w:val="20"/>
        </w:rPr>
        <w:t xml:space="preserve">Networking: </w:t>
      </w:r>
      <w:r>
        <w:rPr>
          <w:color w:val="0E1B3D"/>
          <w:sz w:val="20"/>
        </w:rPr>
        <w:t>routing and switching, IPv4/IPv6 addressing and network design, hybrid networking and dedicated connectivity, CDN, VOD and streaming configuration.</w:t>
      </w:r>
    </w:p>
    <w:p>
      <w:pPr>
        <w:spacing w:before="0" w:after="40" w:line="252" w:lineRule="auto"/>
        <w:ind w:left="312" w:hanging="198"/>
      </w:pPr>
      <w:r>
        <w:rPr>
          <w:color w:val="1D4ED8"/>
          <w:sz w:val="20"/>
        </w:rPr>
        <w:t xml:space="preserve">•  </w:t>
      </w:r>
      <w:r>
        <w:rPr>
          <w:b/>
          <w:color w:val="0E1B3D"/>
          <w:sz w:val="20"/>
        </w:rPr>
        <w:t xml:space="preserve">Servers &amp; virtualization: </w:t>
      </w:r>
      <w:r>
        <w:rPr>
          <w:color w:val="0E1B3D"/>
          <w:sz w:val="20"/>
        </w:rPr>
        <w:t>Windows Server (AD/File/DHCP/DNS), Linux server, Exchange Server, SQL Server, SCCM and failover clustering; ESXi/vCenter and Hyper-V.</w:t>
      </w:r>
    </w:p>
    <w:p>
      <w:pPr>
        <w:spacing w:before="0" w:after="40" w:line="252" w:lineRule="auto"/>
        <w:ind w:left="312" w:hanging="198"/>
      </w:pPr>
      <w:r>
        <w:rPr>
          <w:color w:val="1D4ED8"/>
          <w:sz w:val="20"/>
        </w:rPr>
        <w:t xml:space="preserve">•  </w:t>
      </w:r>
      <w:r>
        <w:rPr>
          <w:b/>
          <w:color w:val="0E1B3D"/>
          <w:sz w:val="20"/>
        </w:rPr>
        <w:t xml:space="preserve">Data &amp; search: </w:t>
      </w:r>
      <w:r>
        <w:rPr>
          <w:color w:val="0E1B3D"/>
          <w:sz w:val="20"/>
        </w:rPr>
        <w:t>SQL queries and Azure Kusto queries, MySQL and MongoDB, Elasticsearch, database backup/restore and data migration.</w:t>
      </w:r>
    </w:p>
    <w:p>
      <w:pPr>
        <w:spacing w:before="0" w:after="40" w:line="252" w:lineRule="auto"/>
        <w:ind w:left="312" w:hanging="198"/>
      </w:pPr>
      <w:r>
        <w:rPr>
          <w:color w:val="1D4ED8"/>
          <w:sz w:val="20"/>
        </w:rPr>
        <w:t xml:space="preserve">•  </w:t>
      </w:r>
      <w:r>
        <w:rPr>
          <w:b/>
          <w:color w:val="0E1B3D"/>
          <w:sz w:val="20"/>
        </w:rPr>
        <w:t xml:space="preserve">DevOps &amp; monitoring: </w:t>
      </w:r>
      <w:r>
        <w:rPr>
          <w:color w:val="0E1B3D"/>
          <w:sz w:val="20"/>
        </w:rPr>
        <w:t>CI/CD pipelines (Azure DevOps), backup and monitoring solutions, hybrid security monitoring (SIEM), troubleshooting across projects.</w:t>
      </w:r>
    </w:p>
    <w:p>
      <w:pPr>
        <w:spacing w:before="0" w:after="40" w:line="252" w:lineRule="auto"/>
        <w:ind w:left="312" w:hanging="198"/>
      </w:pPr>
      <w:r>
        <w:rPr>
          <w:color w:val="1D4ED8"/>
          <w:sz w:val="20"/>
        </w:rPr>
        <w:t xml:space="preserve">•  </w:t>
      </w:r>
      <w:r>
        <w:rPr>
          <w:b/>
          <w:color w:val="0E1B3D"/>
          <w:sz w:val="20"/>
        </w:rPr>
        <w:t xml:space="preserve">Programming &amp; data: </w:t>
      </w:r>
      <w:r>
        <w:rPr>
          <w:color w:val="0E1B3D"/>
          <w:sz w:val="20"/>
        </w:rPr>
        <w:t>C, C++, Java, Python; HTML, CSS, PHP, JavaScript; machine learning fundamentals; data visualization.</w:t>
      </w:r>
    </w:p>
    <w:p>
      <w:pPr>
        <w:spacing w:before="180" w:after="100"/>
        <w:pBdr>
          <w:bottom w:val="single" w:sz="6" w:space="3" w:color="9DB7E8"/>
        </w:pBdr>
      </w:pPr>
      <w:r>
        <w:rPr>
          <w:b/>
          <w:color w:val="1D4ED8"/>
          <w:sz w:val="21"/>
        </w:rPr>
        <w:t>CERTIFICATIONS</w:t>
      </w:r>
    </w:p>
    <w:p>
      <w:pPr>
        <w:pStyle w:val="ListBullet"/>
        <w:spacing w:before="0" w:after="40" w:line="252" w:lineRule="auto"/>
        <w:ind w:left="312" w:hanging="198"/>
      </w:pPr>
      <w:r>
        <w:rPr>
          <w:color w:val="0E1B3D"/>
          <w:sz w:val="20"/>
        </w:rPr>
        <w:t>HUAWEI CLOUD: HCIP — Service Solutions Architect; HCIA — Service Associate.</w:t>
      </w:r>
    </w:p>
    <w:p>
      <w:pPr>
        <w:pStyle w:val="ListBullet"/>
        <w:spacing w:before="0" w:after="40" w:line="252" w:lineRule="auto"/>
        <w:ind w:left="312" w:hanging="198"/>
      </w:pPr>
      <w:r>
        <w:rPr>
          <w:color w:val="0E1B3D"/>
          <w:sz w:val="20"/>
        </w:rPr>
        <w:t>Alibaba Cloud Certified Professional — Cloud Computing; Tencent Cloud Solutions Architect Professional.</w:t>
      </w:r>
    </w:p>
    <w:p>
      <w:pPr>
        <w:pStyle w:val="ListBullet"/>
        <w:spacing w:before="0" w:after="40" w:line="252" w:lineRule="auto"/>
        <w:ind w:left="312" w:hanging="198"/>
      </w:pPr>
      <w:r>
        <w:rPr>
          <w:color w:val="0E1B3D"/>
          <w:sz w:val="20"/>
        </w:rPr>
        <w:t>Microsoft Certified: Azure Solutions Architect Expert; Azure DevOps Engineer Expert; Azure Virtual Desktop Specialty.</w:t>
      </w:r>
    </w:p>
    <w:p>
      <w:pPr>
        <w:pStyle w:val="ListBullet"/>
        <w:spacing w:before="0" w:after="40" w:line="252" w:lineRule="auto"/>
        <w:ind w:left="312" w:hanging="198"/>
      </w:pPr>
      <w:r>
        <w:rPr>
          <w:color w:val="0E1B3D"/>
          <w:sz w:val="20"/>
        </w:rPr>
        <w:t>Microsoft Certified: Azure Data Engineer Associate; Azure Developer Associate; Azure Administrator Associate.</w:t>
      </w:r>
    </w:p>
    <w:p>
      <w:pPr>
        <w:pStyle w:val="ListBullet"/>
        <w:spacing w:before="0" w:after="40" w:line="252" w:lineRule="auto"/>
        <w:ind w:left="312" w:hanging="198"/>
      </w:pPr>
      <w:r>
        <w:rPr>
          <w:color w:val="0E1B3D"/>
          <w:sz w:val="20"/>
        </w:rPr>
        <w:t>AWS Certified Machine Learning Engineer – Associate; AWS Certified AI Practitioner.</w:t>
      </w:r>
    </w:p>
    <w:p>
      <w:pPr>
        <w:spacing w:before="180" w:after="100"/>
        <w:pBdr>
          <w:bottom w:val="single" w:sz="6" w:space="3" w:color="9DB7E8"/>
        </w:pBdr>
      </w:pPr>
      <w:r>
        <w:rPr>
          <w:b/>
          <w:color w:val="1D4ED8"/>
          <w:sz w:val="21"/>
        </w:rPr>
        <w:t>EDUCATION</w:t>
      </w:r>
    </w:p>
    <w:p>
      <w:pPr>
        <w:pStyle w:val="ListBullet"/>
        <w:spacing w:before="0" w:after="40" w:line="252" w:lineRule="auto"/>
        <w:ind w:left="312" w:hanging="198"/>
      </w:pPr>
      <w:r>
        <w:rPr>
          <w:color w:val="0E1B3D"/>
          <w:sz w:val="20"/>
        </w:rPr>
        <w:t>BEng in Computer Science — Hong Kong University of Science and Technology (HKUST), Hong Kong · 2017 – 2020.</w:t>
      </w:r>
    </w:p>
    <w:p>
      <w:pPr>
        <w:pStyle w:val="ListBullet"/>
        <w:spacing w:before="0" w:after="40" w:line="252" w:lineRule="auto"/>
        <w:ind w:left="312" w:hanging="198"/>
      </w:pPr>
      <w:r>
        <w:rPr>
          <w:color w:val="0E1B3D"/>
          <w:sz w:val="20"/>
        </w:rPr>
        <w:t>Higher Diploma in Information Technology — HKU SPACE Community College, Hong Kong · 2015 – 2017.</w:t>
      </w:r>
    </w:p>
    <w:p>
      <w:pPr>
        <w:pStyle w:val="ListBullet"/>
        <w:spacing w:before="0" w:after="40" w:line="252" w:lineRule="auto"/>
        <w:ind w:left="312" w:hanging="198"/>
      </w:pPr>
      <w:r>
        <w:rPr>
          <w:color w:val="0E1B3D"/>
          <w:sz w:val="20"/>
        </w:rPr>
        <w:t>Hong Kong Diploma of Secondary Education (HKDSE) · 2009 – 2015.</w:t>
      </w:r>
    </w:p>
    <w:p>
      <w:pPr>
        <w:spacing w:before="180" w:after="100"/>
        <w:pBdr>
          <w:bottom w:val="single" w:sz="6" w:space="3" w:color="9DB7E8"/>
        </w:pBdr>
      </w:pPr>
      <w:r>
        <w:rPr>
          <w:b/>
          <w:color w:val="1D4ED8"/>
          <w:sz w:val="21"/>
        </w:rPr>
        <w:t>AWARDS &amp; RECOGNITION</w:t>
      </w:r>
    </w:p>
    <w:p>
      <w:pPr>
        <w:pStyle w:val="ListBullet"/>
        <w:spacing w:before="0" w:after="40" w:line="252" w:lineRule="auto"/>
        <w:ind w:left="312" w:hanging="198"/>
      </w:pPr>
      <w:r>
        <w:rPr>
          <w:color w:val="0E1B3D"/>
          <w:sz w:val="20"/>
        </w:rPr>
        <w:t>HKBN Certificate of Appreciation — performance and contributions, 2025.</w:t>
      </w:r>
    </w:p>
    <w:p>
      <w:pPr>
        <w:pStyle w:val="ListBullet"/>
        <w:spacing w:before="0" w:after="40" w:line="252" w:lineRule="auto"/>
        <w:ind w:left="312" w:hanging="198"/>
      </w:pPr>
      <w:r>
        <w:rPr>
          <w:color w:val="0E1B3D"/>
          <w:sz w:val="20"/>
        </w:rPr>
        <w:t>F5 Certificate of Completion — Cloud XC Bootcamp, 2024.</w:t>
      </w:r>
    </w:p>
    <w:p>
      <w:pPr>
        <w:pStyle w:val="ListBullet"/>
        <w:spacing w:before="0" w:after="40" w:line="252" w:lineRule="auto"/>
        <w:ind w:left="312" w:hanging="198"/>
      </w:pPr>
      <w:r>
        <w:rPr>
          <w:color w:val="0E1B3D"/>
          <w:sz w:val="20"/>
        </w:rPr>
        <w:t>Runner-up (Silver Medal), NetRiders CCNA Skills Competition 2016, Hong Kong and Macau (Greater China and Mongolia).</w:t>
      </w:r>
    </w:p>
    <w:p>
      <w:pPr>
        <w:spacing w:before="180" w:after="100"/>
        <w:pBdr>
          <w:bottom w:val="single" w:sz="6" w:space="3" w:color="9DB7E8"/>
        </w:pBdr>
      </w:pPr>
      <w:r>
        <w:rPr>
          <w:b/>
          <w:color w:val="1D4ED8"/>
          <w:sz w:val="21"/>
        </w:rPr>
        <w:t>LANGUAGES</w:t>
      </w:r>
    </w:p>
    <w:p>
      <w:pPr>
        <w:spacing w:before="0" w:after="40" w:line="259" w:lineRule="auto"/>
      </w:pPr>
      <w:r>
        <w:rPr>
          <w:b w:val="0"/>
          <w:i w:val="0"/>
          <w:color w:val="0E1B3D"/>
          <w:sz w:val="21"/>
        </w:rPr>
        <w:t>Proficient in written Chinese and English; fluent in spoken Cantonese, English and Putonghua.</w:t>
      </w:r>
    </w:p>
    <w:sectPr w:rsidR="00FC693F" w:rsidRPr="0006063C" w:rsidSect="00034616">
      <w:pgSz w:w="11906" w:h="16838"/>
      <w:pgMar w:top="709" w:right="907" w:bottom="652"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line="259" w:lineRule="auto"/>
    </w:pPr>
    <w:rPr>
      <w:rFonts w:ascii="Calibri" w:hAnsi="Calibri" w:eastAsia="Calibri"/>
      <w:color w:val="0E1B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